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eastAsia="Calibri"/>
          <w:b/>
          <w:color w:val="C59643"/>
          <w:sz w:val="16"/>
        </w:rPr>
        <w:t>VISION FINANCE GROUP</w:t>
      </w:r>
    </w:p>
    <w:p>
      <w:pPr>
        <w:pStyle w:val="Title"/>
        <w:jc w:val="center"/>
      </w:pPr>
      <w:r>
        <w:rPr>
          <w:rFonts w:ascii="Calibri" w:hAnsi="Calibri" w:eastAsia="Calibri"/>
        </w:rPr>
        <w:t>Member Payment &amp; Account Guide</w:t>
      </w:r>
    </w:p>
    <w:p>
      <w:pPr>
        <w:jc w:val="center"/>
      </w:pPr>
      <w:r>
        <w:rPr>
          <w:rFonts w:ascii="Calibri" w:hAnsi="Calibri" w:eastAsia="Calibri"/>
          <w:color w:val="687487"/>
          <w:sz w:val="20"/>
        </w:rPr>
        <w:t>Where to pay, what each account represents, and how transactions are recorded</w:t>
      </w:r>
    </w:p>
    <w:p>
      <w:pPr>
        <w:jc w:val="center"/>
      </w:pPr>
      <w:r>
        <w:rPr>
          <w:rFonts w:ascii="Calibri" w:hAnsi="Calibri" w:eastAsia="Calibri"/>
          <w:b/>
          <w:color w:val="C59643"/>
          <w:sz w:val="16"/>
        </w:rPr>
        <w:t>Current guide • September 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cantSplit/>
        </w:trPr>
        <w:tc>
          <w:tcPr>
            <w:tcW w:type="dxa" w:w="3389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4F6F8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 w:val="0"/>
                <w:color w:val="071A33"/>
                <w:sz w:val="19"/>
              </w:rPr>
              <w:t>Contact</w:t>
              <w:br/>
              <w:t>+265 999 016 102</w:t>
            </w:r>
          </w:p>
        </w:tc>
        <w:tc>
          <w:tcPr>
            <w:tcW w:type="dxa" w:w="3389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4F6F8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 w:val="0"/>
                <w:color w:val="071A33"/>
                <w:sz w:val="19"/>
              </w:rPr>
              <w:t>Postal address</w:t>
              <w:br/>
              <w:t>P.O. Box 123, Zomba</w:t>
            </w:r>
          </w:p>
        </w:tc>
        <w:tc>
          <w:tcPr>
            <w:tcW w:type="dxa" w:w="3389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4F6F8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 w:val="0"/>
                <w:color w:val="071A33"/>
                <w:sz w:val="19"/>
              </w:rPr>
              <w:t>Established</w:t>
              <w:br/>
              <w:t>27 March 2017</w:t>
            </w:r>
          </w:p>
        </w:tc>
      </w:tr>
    </w:tbl>
    <w:p>
      <w:pPr>
        <w:spacing w:before="0" w:after="0" w:line="40" w:lineRule="exact"/>
      </w:pPr>
    </w:p>
    <w:p>
      <w:pPr>
        <w:pStyle w:val="Heading1"/>
      </w:pPr>
      <w:r>
        <w:rPr>
          <w:rFonts w:ascii="Calibri" w:hAnsi="Calibri" w:eastAsia="Calibri"/>
        </w:rPr>
        <w:t>1. The three-part financial structure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07"/>
        <w:gridCol w:w="7128"/>
      </w:tblGrid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071A33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/>
                <w:color w:val="FFFFFF"/>
                <w:sz w:val="19"/>
              </w:rPr>
              <w:t>TERM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071A33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/>
                <w:color w:val="FFFFFF"/>
                <w:sz w:val="19"/>
              </w:rPr>
              <w:t>CURRENT RULE</w:t>
            </w:r>
          </w:p>
        </w:tc>
      </w:tr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/>
                <w:color w:val="071A33"/>
                <w:sz w:val="19"/>
              </w:rPr>
              <w:t>Member accounts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 w:val="0"/>
                <w:sz w:val="19"/>
              </w:rPr>
              <w:t>Internal member-level records for each person’s savings, loans, repayments and allocated benefits.</w:t>
            </w:r>
          </w:p>
        </w:tc>
      </w:tr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  <w:t>VFG Group-owned fund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  <w:t>Institutional capital owned by Vision Finance Group for future approved investments and group purposes.</w:t>
            </w:r>
          </w:p>
        </w:tc>
      </w:tr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/>
                <w:color w:val="071A33"/>
                <w:sz w:val="19"/>
              </w:rPr>
              <w:t>Welfare fund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 w:val="0"/>
                <w:sz w:val="19"/>
              </w:rPr>
              <w:t>Separate emergency-support funds with their own payment channel and ledger.</w:t>
            </w:r>
          </w:p>
        </w:tc>
      </w:tr>
    </w:tbl>
    <w:p>
      <w:pPr>
        <w:spacing w:before="0" w:after="0" w:line="40" w:lineRule="exact"/>
      </w:pPr>
    </w:p>
    <w:p>
      <w:pPr>
        <w:pStyle w:val="Heading1"/>
      </w:pPr>
      <w:r>
        <w:rPr>
          <w:rFonts w:ascii="Calibri" w:hAnsi="Calibri" w:eastAsia="Calibri"/>
        </w:rPr>
        <w:t>2. Savings and loan-related payment channel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07"/>
        <w:gridCol w:w="7128"/>
      </w:tblGrid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071A33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/>
                <w:color w:val="FFFFFF"/>
                <w:sz w:val="19"/>
              </w:rPr>
              <w:t>TERM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071A33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/>
                <w:color w:val="FFFFFF"/>
                <w:sz w:val="19"/>
              </w:rPr>
              <w:t>CURRENT RULE</w:t>
            </w:r>
          </w:p>
        </w:tc>
      </w:tr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/>
                <w:color w:val="071A33"/>
                <w:sz w:val="19"/>
              </w:rPr>
              <w:t>Bank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 w:val="0"/>
                <w:sz w:val="19"/>
              </w:rPr>
              <w:t>FDH Bank</w:t>
            </w:r>
          </w:p>
        </w:tc>
      </w:tr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/>
                <w:color w:val="071A33"/>
                <w:sz w:val="19"/>
              </w:rPr>
              <w:t>Account name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  <w:t>Vision Finance Corporate (former name of Vision Finance Group)</w:t>
            </w:r>
          </w:p>
        </w:tc>
      </w:tr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/>
                <w:color w:val="071A33"/>
                <w:sz w:val="19"/>
              </w:rPr>
              <w:t>Account number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 w:val="0"/>
                <w:sz w:val="19"/>
              </w:rPr>
              <w:t>1210000253993</w:t>
            </w:r>
          </w:p>
        </w:tc>
      </w:tr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/>
                <w:color w:val="071A33"/>
                <w:sz w:val="19"/>
              </w:rPr>
              <w:t>Branch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 w:val="0"/>
                <w:sz w:val="19"/>
              </w:rPr>
              <w:t>Zomba</w:t>
            </w:r>
          </w:p>
        </w:tc>
      </w:tr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/>
                <w:color w:val="071A33"/>
                <w:sz w:val="19"/>
              </w:rPr>
              <w:t>Transfer channel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 w:val="0"/>
                <w:sz w:val="19"/>
              </w:rPr>
              <w:t>FDH One Click</w:t>
            </w:r>
          </w:p>
        </w:tc>
      </w:tr>
    </w:tbl>
    <w:p>
      <w:pPr>
        <w:spacing w:before="0" w:after="0" w:line="40" w:lineRule="exact"/>
      </w:pPr>
    </w:p>
    <w:p>
      <w:r>
        <w:rPr>
          <w:rFonts w:ascii="Calibri" w:hAnsi="Calibri" w:eastAsia="Calibri"/>
        </w:rPr>
        <w:t>A payment into the FDH bank account does not by itself determine ownership. The FDH account is the Group’s banking channel; internal records determine whether the transaction belongs to a member balance or to the VFG Group-owned fund. The bank account currently displays the former name “Vision Finance Corporate” because it was opened before the Group adopted the current name Vision Finance Group (VFG).</w:t>
      </w:r>
    </w:p>
    <w:p>
      <w:pPr>
        <w:pStyle w:val="Heading1"/>
      </w:pPr>
      <w:r>
        <w:rPr>
          <w:rFonts w:ascii="Calibri" w:hAnsi="Calibri" w:eastAsia="Calibri"/>
        </w:rPr>
        <w:t>3. What belongs to the VFG Group-owned fund</w:t>
      </w:r>
    </w:p>
    <w:p>
      <w:pPr>
        <w:pStyle w:val="ListBullet"/>
      </w:pPr>
      <w:r>
        <w:rPr>
          <w:rFonts w:ascii="Calibri" w:hAnsi="Calibri" w:eastAsia="Calibri"/>
        </w:rPr>
        <w:t>The one-time MWK 15,000 joining fee, paid after approval and before admission is finalised, and the separate MWK 20,000 fee for each processed ordinary member loan are Group-owned income.</w:t>
      </w:r>
    </w:p>
    <w:p>
      <w:pPr>
        <w:pStyle w:val="ListBullet"/>
      </w:pPr>
      <w:r>
        <w:rPr>
          <w:rFonts w:ascii="Calibri" w:hAnsi="Calibri" w:eastAsia="Calibri"/>
        </w:rPr>
        <w:t>20% of interest actually received on ordinary member loans, recorded separately from personal savings and loan principal.</w:t>
      </w:r>
    </w:p>
    <w:p>
      <w:pPr>
        <w:pStyle w:val="ListBullet"/>
      </w:pPr>
      <w:r>
        <w:t>MWK 10,000 for a required meeting absence, subject to the documented constitutional waiver procedure.</w:t>
      </w:r>
    </w:p>
    <w:p>
      <w:pPr>
        <w:pStyle w:val="ListBullet"/>
      </w:pPr>
      <w:r>
        <w:rPr>
          <w:rFonts w:ascii="Calibri" w:hAnsi="Calibri" w:eastAsia="Calibri"/>
        </w:rPr>
        <w:t>Other approved group income or investment returns allocated to Vision Finance.</w:t>
      </w:r>
    </w:p>
    <w:p>
      <w:pPr>
        <w:pStyle w:val="Heading1"/>
        <w:pageBreakBefore/>
      </w:pPr>
      <w:r>
        <w:rPr>
          <w:rFonts w:ascii="Calibri" w:hAnsi="Calibri" w:eastAsia="Calibri"/>
        </w:rPr>
        <w:t>4. What is credited to members</w:t>
      </w:r>
    </w:p>
    <w:p>
      <w:pPr>
        <w:pStyle w:val="ListBullet"/>
      </w:pPr>
      <w:r>
        <w:rPr>
          <w:rFonts w:ascii="Calibri" w:hAnsi="Calibri" w:eastAsia="Calibri"/>
        </w:rPr>
        <w:t>Savings contributions, including additional savings, belong in the paying member’s ledger. When paying in advance, specify the future months covered so the receipt is credited once and allocated correctly.</w:t>
      </w:r>
    </w:p>
    <w:p>
      <w:pPr>
        <w:pStyle w:val="ListBullet"/>
      </w:pPr>
      <w:r>
        <w:rPr>
          <w:rFonts w:ascii="Calibri" w:hAnsi="Calibri" w:eastAsia="Calibri"/>
        </w:rPr>
        <w:t>The borrower’s 30% share of interest actually received is recorded separately and is ordinarily payable or creditable only after full settlement of the related loan, unless validly agreed otherwise.</w:t>
      </w:r>
    </w:p>
    <w:p>
      <w:pPr>
        <w:pStyle w:val="ListBullet"/>
      </w:pPr>
      <w:r>
        <w:rPr>
          <w:rFonts w:ascii="Calibri" w:hAnsi="Calibri" w:eastAsia="Calibri"/>
        </w:rPr>
        <w:t>The remaining 50% of interest actually received is divided equally among other eligible individual members, excluding the borrower. The Group-owned fund does not also participate in this pool.</w:t>
      </w:r>
    </w:p>
    <w:p>
      <w:pPr>
        <w:pStyle w:val="Heading1"/>
      </w:pPr>
      <w:r>
        <w:rPr>
          <w:rFonts w:ascii="Calibri" w:hAnsi="Calibri" w:eastAsia="Calibri"/>
        </w:rPr>
        <w:t>5. Welfare payment channel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07"/>
        <w:gridCol w:w="7128"/>
      </w:tblGrid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071A33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/>
                <w:color w:val="FFFFFF"/>
                <w:sz w:val="19"/>
              </w:rPr>
              <w:t>TERM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071A33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/>
                <w:color w:val="FFFFFF"/>
                <w:sz w:val="19"/>
              </w:rPr>
              <w:t>CURRENT RULE</w:t>
            </w:r>
          </w:p>
        </w:tc>
      </w:tr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/>
                <w:color w:val="071A33"/>
                <w:sz w:val="19"/>
              </w:rPr>
              <w:t>Network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 w:val="0"/>
                <w:sz w:val="19"/>
              </w:rPr>
              <w:t>Airtel Money</w:t>
            </w:r>
          </w:p>
        </w:tc>
      </w:tr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/>
                <w:color w:val="071A33"/>
                <w:sz w:val="19"/>
              </w:rPr>
              <w:t>Agent Code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 w:val="0"/>
                <w:sz w:val="19"/>
              </w:rPr>
              <w:t>1243569</w:t>
            </w:r>
          </w:p>
        </w:tc>
      </w:tr>
      <w:tr>
        <w:trPr>
          <w:cantSplit/>
        </w:trPr>
        <w:tc>
          <w:tcPr>
            <w:tcW w:type="dxa" w:w="2707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/>
                <w:color w:val="071A33"/>
                <w:sz w:val="19"/>
              </w:rPr>
              <w:t>Purpose</w:t>
            </w:r>
          </w:p>
        </w:tc>
        <w:tc>
          <w:tcPr>
            <w:tcW w:type="dxa" w:w="71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Calibri" w:hAnsi="Calibri" w:eastAsia="Calibri"/>
                <w:sz w:val="19"/>
              </w:rPr>
            </w:r>
            <w:r>
              <w:rPr>
                <w:rFonts w:ascii="Calibri" w:hAnsi="Calibri" w:eastAsia="Calibri"/>
                <w:b w:val="0"/>
                <w:sz w:val="19"/>
              </w:rPr>
              <w:t>Approved welfare-fund transactions</w:t>
            </w:r>
          </w:p>
        </w:tc>
      </w:tr>
    </w:tbl>
    <w:p>
      <w:pPr>
        <w:spacing w:before="0" w:after="0" w:line="40" w:lineRule="exact"/>
      </w:pPr>
    </w:p>
    <w:p>
      <w:pPr>
        <w:pStyle w:val="Heading1"/>
      </w:pPr>
      <w:r>
        <w:rPr>
          <w:rFonts w:ascii="Calibri" w:hAnsi="Calibri" w:eastAsia="Calibri"/>
        </w:rPr>
        <w:t>6. Payment controls</w:t>
      </w:r>
    </w:p>
    <w:p>
      <w:pPr>
        <w:pStyle w:val="ListBullet"/>
      </w:pPr>
      <w:r>
        <w:rPr>
          <w:rFonts w:ascii="Calibri" w:hAnsi="Calibri" w:eastAsia="Calibri"/>
        </w:rPr>
        <w:t>Verify the exact bank account name, account number or Airtel Money agent code before sending funds. For FDH payments, “Vision Finance Corporate” is the current bank-held account name and is the former name of Vision Finance Group.</w:t>
      </w:r>
    </w:p>
    <w:p>
      <w:pPr>
        <w:pStyle w:val="ListBullet"/>
      </w:pPr>
      <w:r>
        <w:rPr>
          <w:rFonts w:ascii="Calibri" w:hAnsi="Calibri" w:eastAsia="Calibri"/>
        </w:rPr>
        <w:t>Use a clear narration/reference identifying the member and payment purpose where the platform permits. A bank receipt must be verified and reconciled to the correct member, loan, Group-owned or welfare ledger.</w:t>
      </w:r>
    </w:p>
    <w:p>
      <w:pPr>
        <w:pStyle w:val="ListBullet"/>
      </w:pPr>
      <w:r>
        <w:rPr>
          <w:rFonts w:ascii="Calibri" w:hAnsi="Calibri" w:eastAsia="Calibri"/>
        </w:rPr>
        <w:t>Keep the transaction receipt or reference until the payment has been confirmed in the group records.</w:t>
      </w:r>
    </w:p>
    <w:p>
      <w:pPr>
        <w:pStyle w:val="ListBullet"/>
      </w:pPr>
      <w:r>
        <w:rPr>
          <w:rFonts w:ascii="Calibri" w:hAnsi="Calibri" w:eastAsia="Calibri"/>
        </w:rPr>
        <w:t>Never share a PIN, password or one-time authentication code with another member or group official.</w:t>
      </w:r>
    </w:p>
    <w:p>
      <w:pPr>
        <w:pStyle w:val="ListBullet"/>
      </w:pPr>
      <w:r>
        <w:rPr>
          <w:rFonts w:ascii="Calibri" w:hAnsi="Calibri" w:eastAsia="Calibri"/>
        </w:rPr>
        <w:t>Report an incorrect payment immediately through the official contact number: +265 999 016 102.</w:t>
      </w:r>
    </w:p>
    <w:sectPr w:rsidR="00FC693F" w:rsidRPr="0006063C" w:rsidSect="00034616">
      <w:footerReference w:type="default" r:id="rId9"/>
      <w:pgSz w:w="11909" w:h="16834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87487"/>
        <w:sz w:val="14"/>
      </w:rPr>
      <w:t>Vision Finance Group  •  P.O. Box 123, Zomba, Malawi  •  +265 999 016 102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71A3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C5964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71A33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libri" w:hAnsi="Calibri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71A3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Calibri" w:hAnsi="Calibri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alibri" w:hAnsi="Calibri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alibri" w:hAnsi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Calibri" w:hAnsi="Calibri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Calibri" w:hAnsi="Calibri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Calibri" w:hAnsi="Calibri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libri" w:hAnsi="Calibri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Calibri" w:hAnsi="Calibri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Calibri" w:hAnsi="Calibri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Calibri" w:hAnsi="Calibri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Calibri" w:hAnsi="Calibri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Calibri" w:hAnsi="Calibri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Calibri" w:hAnsi="Calibri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Calibri" w:hAnsi="Calibr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libri" w:hAnsi="Calibr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libri" w:hAnsi="Calibri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